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93" w:rsidRDefault="00FC0993" w:rsidP="00FC099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FC0993" w:rsidRDefault="00FC0993" w:rsidP="00FC0993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276"/>
      </w:tblGrid>
      <w:tr w:rsidR="00FC0993" w:rsidTr="00966D4F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Pr="00FC0993" w:rsidRDefault="00FC0993" w:rsidP="00966D4F">
            <w:pPr>
              <w:rPr>
                <w:rFonts w:ascii="宋体" w:hAnsi="宋体"/>
                <w:sz w:val="24"/>
              </w:rPr>
            </w:pPr>
            <w:r w:rsidRPr="00FC0993">
              <w:rPr>
                <w:rFonts w:ascii="宋体" w:hAnsi="宋体" w:hint="eastAsia"/>
                <w:sz w:val="28"/>
                <w:szCs w:val="28"/>
              </w:rPr>
              <w:t>脉冲磁场刺激仪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FC0993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4C2815">
              <w:rPr>
                <w:rFonts w:ascii="宋体" w:hAnsi="宋体" w:cs="宋体"/>
                <w:sz w:val="24"/>
              </w:rPr>
              <w:t>4</w:t>
            </w:r>
            <w:r w:rsidR="004C2815"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FC0993" w:rsidTr="00966D4F">
        <w:trPr>
          <w:trHeight w:val="54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FC0993" w:rsidTr="00966D4F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FC0993" w:rsidTr="00966D4F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Pr="00FC0993" w:rsidRDefault="00FC0993" w:rsidP="00966D4F">
            <w:pPr>
              <w:rPr>
                <w:rFonts w:ascii="宋体" w:hAnsi="宋体"/>
                <w:sz w:val="24"/>
              </w:rPr>
            </w:pPr>
            <w:r w:rsidRPr="00FC0993">
              <w:rPr>
                <w:rFonts w:ascii="宋体" w:hAnsi="宋体" w:hint="eastAsia"/>
                <w:sz w:val="28"/>
                <w:szCs w:val="28"/>
              </w:rPr>
              <w:t>脉冲磁场刺激仪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EE72EE" w:rsidP="00966D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48</w:t>
            </w:r>
            <w:bookmarkStart w:id="0" w:name="_GoBack"/>
            <w:bookmarkEnd w:id="0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4C2815" w:rsidP="00966D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rFonts w:ascii="宋体" w:hAnsi="宋体" w:cs="宋体"/>
                <w:sz w:val="24"/>
              </w:rPr>
            </w:pPr>
            <w:r w:rsidRPr="00FC0993">
              <w:rPr>
                <w:rFonts w:ascii="宋体" w:hAnsi="宋体" w:cs="宋体" w:hint="eastAsia"/>
                <w:sz w:val="24"/>
              </w:rPr>
              <w:t>内二科</w:t>
            </w:r>
          </w:p>
        </w:tc>
      </w:tr>
      <w:tr w:rsidR="00FC0993" w:rsidTr="00966D4F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FC0993" w:rsidP="00966D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93" w:rsidRDefault="004C2815" w:rsidP="00966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93" w:rsidRDefault="00FC0993" w:rsidP="00966D4F">
            <w:pPr>
              <w:jc w:val="center"/>
              <w:rPr>
                <w:sz w:val="24"/>
              </w:rPr>
            </w:pPr>
          </w:p>
        </w:tc>
      </w:tr>
    </w:tbl>
    <w:p w:rsidR="00FC0993" w:rsidRDefault="00FC0993" w:rsidP="000F4F66">
      <w:pPr>
        <w:spacing w:beforeLines="50" w:before="156" w:afterLines="50" w:after="156"/>
        <w:rPr>
          <w:rFonts w:ascii="宋体" w:hAnsi="宋体"/>
          <w:sz w:val="24"/>
        </w:rPr>
      </w:pP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1、</w:t>
      </w:r>
      <w:r w:rsidR="00FC0993">
        <w:rPr>
          <w:rFonts w:ascii="宋体" w:hAnsi="宋体" w:hint="eastAsia"/>
          <w:sz w:val="24"/>
        </w:rPr>
        <w:t>▲</w:t>
      </w:r>
      <w:r w:rsidRPr="00516AA5">
        <w:rPr>
          <w:rFonts w:ascii="宋体" w:hAnsi="宋体" w:hint="eastAsia"/>
          <w:sz w:val="24"/>
        </w:rPr>
        <w:t>产品不仅能用于中枢神经和外周神经的检测，也能用于精神科、神经科、康复科某些疾病的治疗研究；（该设备的《医疗器械产品注册证》中应有相关说明）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2、</w:t>
      </w:r>
      <w:r w:rsidR="00FC0993">
        <w:rPr>
          <w:rFonts w:ascii="宋体" w:hAnsi="宋体" w:hint="eastAsia"/>
          <w:sz w:val="24"/>
        </w:rPr>
        <w:t>▲</w:t>
      </w:r>
      <w:r w:rsidRPr="00516AA5">
        <w:rPr>
          <w:rFonts w:ascii="宋体" w:hAnsi="宋体" w:hint="eastAsia"/>
          <w:sz w:val="24"/>
        </w:rPr>
        <w:t>刺激频率：0-50Hz可调;（该设备的《医疗器械产品注册表》中应有相关说明或应提供国家医疗器械检测中心出具的《检测报告》加以证明，生产商或经销商自己出具的报告文件不采用）；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3、</w:t>
      </w:r>
      <w:r w:rsidR="00FC0993">
        <w:rPr>
          <w:rFonts w:ascii="宋体" w:hAnsi="宋体" w:hint="eastAsia"/>
          <w:sz w:val="24"/>
        </w:rPr>
        <w:t>▲</w:t>
      </w:r>
      <w:r w:rsidRPr="00516AA5">
        <w:rPr>
          <w:rFonts w:ascii="宋体" w:hAnsi="宋体" w:hint="eastAsia"/>
          <w:sz w:val="24"/>
        </w:rPr>
        <w:t>冷却系统为液态内循环冷却系统（该设备的《医疗器械产品注册表》中应有冷却系统的相关说明或应提供国家医疗器械检测中心出具的《检测报告》加以证明，生产商或经销商自己出具的报告文件不采用）；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4、刺激线圈：能实现双面双向刺激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5、</w:t>
      </w:r>
      <w:r w:rsidR="00FC0993">
        <w:rPr>
          <w:rFonts w:ascii="宋体" w:hAnsi="宋体" w:hint="eastAsia"/>
          <w:sz w:val="24"/>
        </w:rPr>
        <w:t>▲</w:t>
      </w:r>
      <w:r w:rsidRPr="00516AA5">
        <w:rPr>
          <w:rFonts w:ascii="宋体" w:hAnsi="宋体" w:hint="eastAsia"/>
          <w:sz w:val="24"/>
        </w:rPr>
        <w:t>最大刺激强度不低于6Tesla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6、刺激强度1.5-6Tesla连续可调；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7、磁感应强度最大变化率：40KT-80KT；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8、脉冲上升时间：50μs±10μs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9、</w:t>
      </w:r>
      <w:r w:rsidR="00FC0993">
        <w:rPr>
          <w:rFonts w:ascii="宋体" w:hAnsi="宋体" w:hint="eastAsia"/>
          <w:sz w:val="24"/>
        </w:rPr>
        <w:t>▲</w:t>
      </w:r>
      <w:r w:rsidRPr="00516AA5">
        <w:rPr>
          <w:rFonts w:ascii="宋体" w:hAnsi="宋体" w:hint="eastAsia"/>
          <w:sz w:val="24"/>
        </w:rPr>
        <w:t>输出脉冲宽度：340μs±20μs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10、电脑操作管理方式，能实现：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a)硬盘储存、USB储存；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b)专家方案、病历管理、以及病历打印输出；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c)刺激模式图形（数字）仿真、温度显示与控制保护。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11、一体式可推移整机结构：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a)静音脚轮设计,可固定线圈支架；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12、具备触发输入输出通用接口。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lastRenderedPageBreak/>
        <w:t>13、单脉冲、重复脉冲、BURST、PATTEREND刺激的多种刺激模式自由调整。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14、设备生产厂家取得国际认证机构认证的ISO13485、ISO9001质量体系认证。</w:t>
      </w:r>
    </w:p>
    <w:p w:rsidR="0096291D" w:rsidRPr="00516AA5" w:rsidRDefault="0096291D" w:rsidP="000F4F66">
      <w:pPr>
        <w:spacing w:beforeLines="50" w:before="156" w:afterLines="50" w:after="156"/>
        <w:rPr>
          <w:rFonts w:ascii="宋体" w:hAnsi="宋体"/>
          <w:sz w:val="24"/>
        </w:rPr>
      </w:pPr>
      <w:r w:rsidRPr="00516AA5">
        <w:rPr>
          <w:rFonts w:ascii="宋体" w:hAnsi="宋体" w:hint="eastAsia"/>
          <w:sz w:val="24"/>
        </w:rPr>
        <w:t>15、开放式的技术平台，可与国内外的主流肌电诱发电位仪、脑电图等设备兼容。</w:t>
      </w:r>
    </w:p>
    <w:p w:rsidR="008D02FC" w:rsidRPr="00FC3429" w:rsidRDefault="008D02FC"/>
    <w:sectPr w:rsidR="008D02FC" w:rsidRPr="00FC3429" w:rsidSect="000F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84" w:rsidRDefault="00985A84" w:rsidP="0096291D">
      <w:r>
        <w:separator/>
      </w:r>
    </w:p>
  </w:endnote>
  <w:endnote w:type="continuationSeparator" w:id="0">
    <w:p w:rsidR="00985A84" w:rsidRDefault="00985A84" w:rsidP="0096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84" w:rsidRDefault="00985A84" w:rsidP="0096291D">
      <w:r>
        <w:separator/>
      </w:r>
    </w:p>
  </w:footnote>
  <w:footnote w:type="continuationSeparator" w:id="0">
    <w:p w:rsidR="00985A84" w:rsidRDefault="00985A84" w:rsidP="0096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91D"/>
    <w:rsid w:val="000F4F66"/>
    <w:rsid w:val="003E00A3"/>
    <w:rsid w:val="004C2815"/>
    <w:rsid w:val="008D02FC"/>
    <w:rsid w:val="0096291D"/>
    <w:rsid w:val="00985A84"/>
    <w:rsid w:val="00D155D4"/>
    <w:rsid w:val="00EE72EE"/>
    <w:rsid w:val="00FC0993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766A1C-3992-47F9-A6DC-E939D8EE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9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9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9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焦仲鸣</cp:lastModifiedBy>
  <cp:revision>7</cp:revision>
  <dcterms:created xsi:type="dcterms:W3CDTF">2017-11-13T03:06:00Z</dcterms:created>
  <dcterms:modified xsi:type="dcterms:W3CDTF">2018-01-25T03:33:00Z</dcterms:modified>
</cp:coreProperties>
</file>