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992A67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等离子宫腔电切镜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0084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71B8F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FC1219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92A67" w:rsidP="00283CFD">
            <w:pPr>
              <w:rPr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等离子宫腔电切镜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793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FC1219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FC1219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92A67" w:rsidP="00E71B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院手术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麻醉科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FC1219">
              <w:rPr>
                <w:rFonts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900840" w:rsidRDefault="00900840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>▲</w:t>
      </w:r>
      <w:r w:rsidR="005207B9"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 xml:space="preserve"> </w:t>
      </w:r>
      <w:proofErr w:type="gramStart"/>
      <w:r w:rsidR="00992A67">
        <w:rPr>
          <w:rFonts w:ascii="宋体" w:hAnsi="宋体"/>
          <w:bCs/>
          <w:szCs w:val="21"/>
        </w:rPr>
        <w:t>光学视管直径</w:t>
      </w:r>
      <w:proofErr w:type="gramEnd"/>
      <w:r w:rsidR="00992A67">
        <w:rPr>
          <w:rFonts w:ascii="宋体" w:hAnsi="宋体"/>
          <w:bCs/>
          <w:szCs w:val="21"/>
        </w:rPr>
        <w:t>4mm，视野角度12度</w:t>
      </w:r>
      <w:r w:rsidR="00992A67">
        <w:rPr>
          <w:rFonts w:ascii="宋体" w:hAnsi="宋体" w:hint="eastAsia"/>
          <w:bCs/>
          <w:szCs w:val="21"/>
        </w:rPr>
        <w:t>或30度</w:t>
      </w:r>
      <w:r w:rsidR="00992A67">
        <w:rPr>
          <w:rFonts w:ascii="宋体" w:hAnsi="宋体"/>
          <w:bCs/>
          <w:szCs w:val="21"/>
        </w:rPr>
        <w:t>超广角</w:t>
      </w:r>
      <w:r w:rsidR="00992A67">
        <w:rPr>
          <w:rFonts w:ascii="宋体" w:hAnsi="宋体" w:hint="eastAsia"/>
          <w:bCs/>
          <w:szCs w:val="21"/>
        </w:rPr>
        <w:t>；</w:t>
      </w:r>
    </w:p>
    <w:p w:rsidR="00992A67" w:rsidRDefault="00992A67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 w:rsidR="00900840">
        <w:rPr>
          <w:rFonts w:ascii="宋体" w:hAnsi="宋体" w:hint="eastAsia"/>
          <w:bCs/>
          <w:szCs w:val="21"/>
        </w:rPr>
        <w:t>▲</w:t>
      </w:r>
      <w:r>
        <w:rPr>
          <w:rFonts w:ascii="宋体" w:hAnsi="宋体" w:hint="eastAsia"/>
          <w:bCs/>
          <w:szCs w:val="21"/>
        </w:rPr>
        <w:t xml:space="preserve"> 2.</w:t>
      </w:r>
      <w:r w:rsidR="00900840"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外管鞘</w:t>
      </w:r>
      <w:r>
        <w:rPr>
          <w:rFonts w:ascii="宋体" w:hAnsi="宋体" w:hint="eastAsia"/>
          <w:bCs/>
          <w:szCs w:val="21"/>
        </w:rPr>
        <w:t>≤</w:t>
      </w:r>
      <w:r>
        <w:rPr>
          <w:rFonts w:ascii="宋体" w:hAnsi="宋体"/>
          <w:bCs/>
          <w:szCs w:val="21"/>
        </w:rPr>
        <w:t>8.5mm，可持续灌流，保持视野清晰</w:t>
      </w:r>
      <w:r>
        <w:rPr>
          <w:rFonts w:ascii="宋体" w:hAnsi="宋体" w:hint="eastAsia"/>
          <w:bCs/>
          <w:szCs w:val="21"/>
        </w:rPr>
        <w:t>；</w:t>
      </w:r>
    </w:p>
    <w:p w:rsidR="00992A67" w:rsidRDefault="00900840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>▲</w:t>
      </w:r>
      <w:r w:rsidR="005207B9"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>3.</w:t>
      </w:r>
      <w:r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/>
          <w:bCs/>
          <w:szCs w:val="21"/>
        </w:rPr>
        <w:t>可360度旋转；可高温高压</w:t>
      </w:r>
      <w:r w:rsidR="00992A67">
        <w:rPr>
          <w:rFonts w:ascii="宋体" w:hAnsi="宋体" w:hint="eastAsia"/>
          <w:bCs/>
          <w:szCs w:val="21"/>
        </w:rPr>
        <w:t>灭菌</w:t>
      </w:r>
      <w:r w:rsidR="00992A67">
        <w:rPr>
          <w:rFonts w:ascii="宋体" w:hAnsi="宋体"/>
          <w:bCs/>
          <w:szCs w:val="21"/>
        </w:rPr>
        <w:t>；</w:t>
      </w:r>
    </w:p>
    <w:p w:rsidR="00992A67" w:rsidRDefault="00992A67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900840">
        <w:rPr>
          <w:rFonts w:ascii="宋体" w:hAnsi="宋体" w:hint="eastAsia"/>
          <w:bCs/>
          <w:szCs w:val="21"/>
        </w:rPr>
        <w:t xml:space="preserve"> </w:t>
      </w:r>
      <w:r w:rsidR="005207B9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4.</w:t>
      </w:r>
      <w:r w:rsidR="00900840"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t>配备被动式工作把手，可配环形电极、针形电极、球形电极等多种电极；</w:t>
      </w:r>
    </w:p>
    <w:p w:rsidR="00992A67" w:rsidRDefault="00900840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 xml:space="preserve">  </w:t>
      </w:r>
      <w:r w:rsidR="005207B9">
        <w:rPr>
          <w:rFonts w:ascii="宋体" w:hAnsi="宋体"/>
          <w:bCs/>
          <w:szCs w:val="21"/>
        </w:rPr>
        <w:t xml:space="preserve"> </w:t>
      </w:r>
      <w:r w:rsidR="00992A67">
        <w:rPr>
          <w:rFonts w:ascii="宋体" w:hAnsi="宋体" w:hint="eastAsia"/>
          <w:bCs/>
          <w:szCs w:val="21"/>
        </w:rPr>
        <w:t>5.</w:t>
      </w:r>
      <w:r>
        <w:rPr>
          <w:rFonts w:ascii="宋体" w:hAnsi="宋体" w:hint="eastAsia"/>
          <w:bCs/>
          <w:szCs w:val="21"/>
        </w:rPr>
        <w:t xml:space="preserve"> </w:t>
      </w:r>
      <w:proofErr w:type="gramStart"/>
      <w:r w:rsidR="00992A67">
        <w:rPr>
          <w:rFonts w:ascii="宋体" w:hAnsi="宋体"/>
          <w:bCs/>
          <w:szCs w:val="21"/>
        </w:rPr>
        <w:t>内管鞘耐高温</w:t>
      </w:r>
      <w:proofErr w:type="gramEnd"/>
      <w:r w:rsidR="00992A67">
        <w:rPr>
          <w:rFonts w:ascii="宋体" w:hAnsi="宋体"/>
          <w:bCs/>
          <w:szCs w:val="21"/>
        </w:rPr>
        <w:t>陶瓷先端部，具有ABS防堵塞系统；所有</w:t>
      </w:r>
      <w:proofErr w:type="gramStart"/>
      <w:r w:rsidR="00992A67">
        <w:rPr>
          <w:rFonts w:ascii="宋体" w:hAnsi="宋体"/>
          <w:bCs/>
          <w:szCs w:val="21"/>
        </w:rPr>
        <w:t>管鞘均经过</w:t>
      </w:r>
      <w:proofErr w:type="gramEnd"/>
      <w:r w:rsidR="00992A67">
        <w:rPr>
          <w:rFonts w:ascii="宋体" w:hAnsi="宋体"/>
          <w:bCs/>
          <w:szCs w:val="21"/>
        </w:rPr>
        <w:t>非磨砂处理</w:t>
      </w:r>
      <w:r w:rsidR="00992A67">
        <w:rPr>
          <w:rFonts w:ascii="宋体" w:hAnsi="宋体" w:hint="eastAsia"/>
          <w:bCs/>
          <w:szCs w:val="21"/>
        </w:rPr>
        <w:t>；</w:t>
      </w:r>
    </w:p>
    <w:p w:rsidR="00992A67" w:rsidRDefault="00992A67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r w:rsidR="005207B9" w:rsidRPr="005207B9">
        <w:rPr>
          <w:rFonts w:ascii="宋体" w:hAnsi="宋体" w:hint="eastAsia"/>
          <w:bCs/>
          <w:szCs w:val="21"/>
        </w:rPr>
        <w:t>★</w:t>
      </w:r>
      <w:r w:rsidR="005207B9"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6.</w:t>
      </w:r>
      <w:r w:rsidR="00900840">
        <w:rPr>
          <w:rFonts w:ascii="宋体" w:hAnsi="宋体" w:hint="eastAsia"/>
          <w:bCs/>
          <w:szCs w:val="21"/>
        </w:rPr>
        <w:t xml:space="preserve"> </w:t>
      </w:r>
      <w:r w:rsidR="005207B9">
        <w:rPr>
          <w:rFonts w:ascii="宋体" w:hAnsi="宋体" w:hint="eastAsia"/>
          <w:bCs/>
          <w:szCs w:val="21"/>
        </w:rPr>
        <w:t>能</w:t>
      </w:r>
      <w:r w:rsidR="00900840">
        <w:rPr>
          <w:rFonts w:ascii="宋体" w:hAnsi="宋体" w:hint="eastAsia"/>
          <w:bCs/>
          <w:szCs w:val="21"/>
        </w:rPr>
        <w:t>兼容奥林巴斯电刀主机；</w:t>
      </w:r>
    </w:p>
    <w:p w:rsidR="005207B9" w:rsidRDefault="005207B9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</w:p>
    <w:p w:rsidR="005207B9" w:rsidRDefault="005207B9" w:rsidP="00992A67">
      <w:pPr>
        <w:tabs>
          <w:tab w:val="left" w:pos="786"/>
        </w:tabs>
        <w:spacing w:line="400" w:lineRule="exact"/>
        <w:rPr>
          <w:rFonts w:ascii="宋体" w:hAnsi="宋体"/>
          <w:bCs/>
          <w:szCs w:val="21"/>
        </w:rPr>
      </w:pPr>
    </w:p>
    <w:p w:rsidR="005207B9" w:rsidRDefault="005207B9" w:rsidP="00992A67">
      <w:pPr>
        <w:tabs>
          <w:tab w:val="left" w:pos="786"/>
        </w:tabs>
        <w:spacing w:line="4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注</w:t>
      </w:r>
      <w:r>
        <w:rPr>
          <w:rFonts w:ascii="宋体" w:hAnsi="宋体"/>
          <w:bCs/>
          <w:szCs w:val="21"/>
        </w:rPr>
        <w:t>：</w:t>
      </w:r>
      <w:r w:rsidRPr="005207B9">
        <w:rPr>
          <w:rFonts w:ascii="宋体" w:hAnsi="宋体" w:hint="eastAsia"/>
          <w:bCs/>
          <w:szCs w:val="21"/>
        </w:rPr>
        <w:t>★</w:t>
      </w:r>
      <w:proofErr w:type="gramStart"/>
      <w:r>
        <w:rPr>
          <w:rFonts w:ascii="宋体" w:hAnsi="宋体" w:hint="eastAsia"/>
          <w:bCs/>
          <w:szCs w:val="21"/>
        </w:rPr>
        <w:t>为</w:t>
      </w:r>
      <w:r>
        <w:rPr>
          <w:rFonts w:ascii="宋体" w:hAnsi="宋体"/>
          <w:bCs/>
          <w:szCs w:val="21"/>
        </w:rPr>
        <w:t>废标条款</w:t>
      </w:r>
      <w:proofErr w:type="gramEnd"/>
      <w:r>
        <w:rPr>
          <w:rFonts w:ascii="宋体" w:hAnsi="宋体" w:hint="eastAsia"/>
          <w:bCs/>
          <w:szCs w:val="21"/>
        </w:rPr>
        <w:t xml:space="preserve">符号 </w:t>
      </w:r>
    </w:p>
    <w:p w:rsidR="005207B9" w:rsidRDefault="005207B9" w:rsidP="005207B9">
      <w:pPr>
        <w:tabs>
          <w:tab w:val="left" w:pos="786"/>
        </w:tabs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207B9">
        <w:rPr>
          <w:rFonts w:ascii="宋体" w:hAnsi="宋体" w:hint="eastAsia"/>
          <w:bCs/>
          <w:szCs w:val="21"/>
        </w:rPr>
        <w:t>▲</w:t>
      </w:r>
      <w:r>
        <w:rPr>
          <w:rFonts w:ascii="宋体" w:hAnsi="宋体" w:hint="eastAsia"/>
          <w:bCs/>
          <w:szCs w:val="21"/>
        </w:rPr>
        <w:t>为</w:t>
      </w:r>
      <w:r>
        <w:rPr>
          <w:rFonts w:ascii="宋体" w:hAnsi="宋体"/>
          <w:bCs/>
          <w:szCs w:val="21"/>
        </w:rPr>
        <w:t>重点</w:t>
      </w:r>
      <w:r>
        <w:rPr>
          <w:rFonts w:ascii="宋体" w:hAnsi="宋体" w:hint="eastAsia"/>
          <w:bCs/>
          <w:szCs w:val="21"/>
        </w:rPr>
        <w:t>条款</w:t>
      </w:r>
      <w:bookmarkStart w:id="0" w:name="_GoBack"/>
      <w:bookmarkEnd w:id="0"/>
      <w:r>
        <w:rPr>
          <w:rFonts w:ascii="宋体" w:hAnsi="宋体"/>
          <w:bCs/>
          <w:szCs w:val="21"/>
        </w:rPr>
        <w:t>符号</w:t>
      </w:r>
    </w:p>
    <w:p w:rsidR="00992A67" w:rsidRPr="005207B9" w:rsidRDefault="00992A67" w:rsidP="00771A33">
      <w:pPr>
        <w:rPr>
          <w:rFonts w:ascii="Calibri" w:hAnsi="Calibri"/>
          <w:b/>
          <w:szCs w:val="22"/>
        </w:rPr>
      </w:pPr>
    </w:p>
    <w:sectPr w:rsidR="00992A67" w:rsidRPr="005207B9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E1" w:rsidRDefault="00D802E1">
      <w:r>
        <w:separator/>
      </w:r>
    </w:p>
  </w:endnote>
  <w:endnote w:type="continuationSeparator" w:id="0">
    <w:p w:rsidR="00D802E1" w:rsidRDefault="00D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E1" w:rsidRDefault="00D802E1">
      <w:r>
        <w:separator/>
      </w:r>
    </w:p>
  </w:footnote>
  <w:footnote w:type="continuationSeparator" w:id="0">
    <w:p w:rsidR="00D802E1" w:rsidRDefault="00D8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134DC0"/>
    <w:rsid w:val="001C148A"/>
    <w:rsid w:val="00245B7C"/>
    <w:rsid w:val="002F4FD2"/>
    <w:rsid w:val="00323B43"/>
    <w:rsid w:val="00363D0C"/>
    <w:rsid w:val="00391EAD"/>
    <w:rsid w:val="003D37D8"/>
    <w:rsid w:val="003F70CB"/>
    <w:rsid w:val="004358AB"/>
    <w:rsid w:val="00492D6D"/>
    <w:rsid w:val="005207B9"/>
    <w:rsid w:val="0054521F"/>
    <w:rsid w:val="006326BE"/>
    <w:rsid w:val="006941F4"/>
    <w:rsid w:val="00720AE7"/>
    <w:rsid w:val="00771A33"/>
    <w:rsid w:val="00793671"/>
    <w:rsid w:val="007A55D0"/>
    <w:rsid w:val="00801E0C"/>
    <w:rsid w:val="00860361"/>
    <w:rsid w:val="008B7726"/>
    <w:rsid w:val="00900840"/>
    <w:rsid w:val="00992A67"/>
    <w:rsid w:val="009B0D4F"/>
    <w:rsid w:val="00A23E41"/>
    <w:rsid w:val="00AA6FE0"/>
    <w:rsid w:val="00AE4AFF"/>
    <w:rsid w:val="00B73C1D"/>
    <w:rsid w:val="00BB4889"/>
    <w:rsid w:val="00D802E1"/>
    <w:rsid w:val="00D959DC"/>
    <w:rsid w:val="00DB442C"/>
    <w:rsid w:val="00E71B8F"/>
    <w:rsid w:val="00EB3885"/>
    <w:rsid w:val="00ED12FA"/>
    <w:rsid w:val="00F35C5A"/>
    <w:rsid w:val="00F64088"/>
    <w:rsid w:val="00FC1219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A5D69EAC-FE54-4489-9728-936DD100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2018-03-21T02:29:00Z</dcterms:created>
  <dcterms:modified xsi:type="dcterms:W3CDTF">2018-04-02T09:36:00Z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